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8" w:rsidRPr="00B15CB8" w:rsidRDefault="00B15CB8" w:rsidP="00B15CB8">
      <w:pPr>
        <w:spacing w:after="25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70"/>
          <w:szCs w:val="70"/>
          <w:lang w:eastAsia="ru-RU"/>
        </w:rPr>
      </w:pPr>
      <w:r w:rsidRPr="00B15CB8">
        <w:rPr>
          <w:rFonts w:ascii="Conv_PFDINTEXTCONDPRO-MEDIUM" w:eastAsia="Times New Roman" w:hAnsi="Conv_PFDINTEXTCONDPRO-MEDIUM" w:cs="Arial"/>
          <w:color w:val="405965"/>
          <w:kern w:val="36"/>
          <w:sz w:val="70"/>
          <w:szCs w:val="70"/>
          <w:lang w:eastAsia="ru-RU"/>
        </w:rPr>
        <w:t>Не позднее 1 июля следует уплатить страховые взносы за 2023 год в размере 1 % с суммы дохода более 300 тыс. рублей</w:t>
      </w:r>
    </w:p>
    <w:p w:rsidR="00B15CB8" w:rsidRPr="00B15CB8" w:rsidRDefault="00B15CB8" w:rsidP="00B15C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15CB8" w:rsidRPr="00B15CB8" w:rsidRDefault="00B15CB8" w:rsidP="00B15CB8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05965"/>
          <w:sz w:val="20"/>
          <w:szCs w:val="20"/>
          <w:lang w:eastAsia="ru-RU"/>
        </w:rPr>
      </w:pPr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ФНС России напоминает о том, что не позднее 1 июля 2024 года необходимо уплатить страховые взносы за 2023 год в размере 1 % с суммы дохода, превышающей 300 тыс. рублей. Их уплачивают индивидуальные предприниматели, адвокаты, медиаторы, нотариусы, арбитражные управляющие, оценщики, патентные поверенные и иные лица, занимающиеся частной практикой.</w:t>
      </w:r>
    </w:p>
    <w:p w:rsidR="00B15CB8" w:rsidRPr="00B15CB8" w:rsidRDefault="00B15CB8" w:rsidP="00B1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0"/>
          <w:szCs w:val="20"/>
          <w:lang w:eastAsia="ru-RU"/>
        </w:rPr>
      </w:pPr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Размер дохода для исчисления страховых взносов на обязательное пенсионное страхование определяется в соответствии со </w:t>
      </w:r>
      <w:hyperlink r:id="rId4" w:tgtFrame="_blank" w:history="1">
        <w:r w:rsidRPr="00B15CB8">
          <w:rPr>
            <w:rFonts w:ascii="Arial" w:eastAsia="Times New Roman" w:hAnsi="Arial" w:cs="Arial"/>
            <w:color w:val="0066B3"/>
            <w:sz w:val="20"/>
            <w:lang w:eastAsia="ru-RU"/>
          </w:rPr>
          <w:t>ст. 430 НК РФ</w:t>
        </w:r>
      </w:hyperlink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. Размер рассчитывается как 1 % от суммы дохода, полученного в расчетном периоде, за вычетом 300 тыс. рублей. При этом общая сумма таких страховых взносов за 2023 год не может превышать 257 061 рублей.</w:t>
      </w:r>
    </w:p>
    <w:p w:rsidR="00B15CB8" w:rsidRPr="00B15CB8" w:rsidRDefault="00B15CB8" w:rsidP="00B1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0"/>
          <w:szCs w:val="20"/>
          <w:lang w:eastAsia="ru-RU"/>
        </w:rPr>
      </w:pPr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Для ее расчета можно воспользоваться электронным сервисом «</w:t>
      </w:r>
      <w:hyperlink r:id="rId5" w:tgtFrame="_blank" w:history="1">
        <w:r w:rsidRPr="00B15CB8">
          <w:rPr>
            <w:rFonts w:ascii="Arial" w:eastAsia="Times New Roman" w:hAnsi="Arial" w:cs="Arial"/>
            <w:color w:val="0066B3"/>
            <w:sz w:val="20"/>
            <w:lang w:eastAsia="ru-RU"/>
          </w:rPr>
          <w:t>Калькулятор расчета страховых взносов</w:t>
        </w:r>
      </w:hyperlink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» на официальном сайте ФНС России и в «</w:t>
      </w:r>
      <w:hyperlink r:id="rId6" w:anchor="/login" w:tgtFrame="_blank" w:history="1">
        <w:r w:rsidRPr="00B15CB8">
          <w:rPr>
            <w:rFonts w:ascii="Arial" w:eastAsia="Times New Roman" w:hAnsi="Arial" w:cs="Arial"/>
            <w:color w:val="0066B3"/>
            <w:sz w:val="20"/>
            <w:lang w:eastAsia="ru-RU"/>
          </w:rPr>
          <w:t>Личном кабинете индивидуального предпринимателя</w:t>
        </w:r>
      </w:hyperlink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».</w:t>
      </w:r>
    </w:p>
    <w:p w:rsidR="00B15CB8" w:rsidRPr="00B15CB8" w:rsidRDefault="00B15CB8" w:rsidP="00B15CB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0"/>
          <w:szCs w:val="20"/>
          <w:lang w:eastAsia="ru-RU"/>
        </w:rPr>
      </w:pPr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Обращаем внимание, что страховые взносы уплачиваются на единый налоговый счет. Произвести уплату можно с помощью сервиса: «</w:t>
      </w:r>
      <w:hyperlink r:id="rId7" w:tgtFrame="_blank" w:history="1">
        <w:r w:rsidRPr="00B15CB8">
          <w:rPr>
            <w:rFonts w:ascii="Arial" w:eastAsia="Times New Roman" w:hAnsi="Arial" w:cs="Arial"/>
            <w:color w:val="0066B3"/>
            <w:sz w:val="20"/>
            <w:lang w:eastAsia="ru-RU"/>
          </w:rPr>
          <w:t>Уплата налогов и пошлин – Пополнить ЕНС</w:t>
        </w:r>
      </w:hyperlink>
      <w:r w:rsidRPr="00B15CB8">
        <w:rPr>
          <w:rFonts w:ascii="Arial" w:eastAsia="Times New Roman" w:hAnsi="Arial" w:cs="Arial"/>
          <w:color w:val="405965"/>
          <w:sz w:val="20"/>
          <w:szCs w:val="20"/>
          <w:lang w:eastAsia="ru-RU"/>
        </w:rPr>
        <w:t>».</w:t>
      </w:r>
    </w:p>
    <w:p w:rsidR="00F52DD7" w:rsidRDefault="00B15CB8"/>
    <w:sectPr w:rsidR="00F52DD7" w:rsidSect="003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CB8"/>
    <w:rsid w:val="0018798B"/>
    <w:rsid w:val="00382C15"/>
    <w:rsid w:val="004E57B5"/>
    <w:rsid w:val="00B1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15"/>
  </w:style>
  <w:style w:type="paragraph" w:styleId="1">
    <w:name w:val="heading 1"/>
    <w:basedOn w:val="a"/>
    <w:link w:val="10"/>
    <w:uiPriority w:val="9"/>
    <w:qFormat/>
    <w:rsid w:val="00B1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32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278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e.nalog.ru/payment/ens.html?payer=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www.nalog.gov.ru/rn77/service/ops/" TargetMode="External"/><Relationship Id="rId4" Type="http://schemas.openxmlformats.org/officeDocument/2006/relationships/hyperlink" Target="http://nalog.garant.ru/fns/nk/25251f9c341b4b29fabf5cb7957c599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2024-06-26T13:03:00Z</dcterms:created>
  <dcterms:modified xsi:type="dcterms:W3CDTF">2024-06-26T13:03:00Z</dcterms:modified>
</cp:coreProperties>
</file>